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3852EA">
        <w:rPr>
          <w:rFonts w:asciiTheme="majorHAnsi" w:hAnsiTheme="majorHAnsi" w:cs="MyriadPro-Black"/>
          <w:caps/>
          <w:sz w:val="32"/>
          <w:szCs w:val="40"/>
        </w:rPr>
        <w:t>10</w:t>
      </w: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852EA">
        <w:rPr>
          <w:rFonts w:asciiTheme="majorHAnsi" w:hAnsiTheme="majorHAnsi" w:cs="MyriadPro-Black"/>
          <w:caps/>
          <w:sz w:val="32"/>
          <w:szCs w:val="40"/>
        </w:rPr>
        <w:t>4. 2. 2019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903CFE">
        <w:tc>
          <w:tcPr>
            <w:tcW w:w="1048" w:type="dxa"/>
            <w:shd w:val="clear" w:color="auto" w:fill="auto"/>
          </w:tcPr>
          <w:p w:rsidR="009948D4" w:rsidRPr="00D920CA" w:rsidRDefault="009948D4" w:rsidP="00903CFE">
            <w:pPr>
              <w:spacing w:after="120"/>
              <w:rPr>
                <w:b/>
              </w:rPr>
            </w:pPr>
          </w:p>
        </w:tc>
        <w:tc>
          <w:tcPr>
            <w:tcW w:w="8558" w:type="dxa"/>
            <w:shd w:val="clear" w:color="auto" w:fill="auto"/>
          </w:tcPr>
          <w:p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903CFE">
        <w:trPr>
          <w:trHeight w:val="1273"/>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9D2A95">
        <w:trPr>
          <w:trHeight w:val="697"/>
        </w:trPr>
        <w:tc>
          <w:tcPr>
            <w:tcW w:w="1048" w:type="dxa"/>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7508DC">
        <w:trPr>
          <w:trHeight w:val="689"/>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903CFE">
        <w:trPr>
          <w:trHeight w:val="747"/>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903CFE">
        <w:trPr>
          <w:trHeight w:val="70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rsidTr="00903CFE">
        <w:trPr>
          <w:trHeight w:val="1492"/>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903CFE">
        <w:trPr>
          <w:trHeight w:val="71"/>
        </w:trPr>
        <w:tc>
          <w:tcPr>
            <w:tcW w:w="1048" w:type="dxa"/>
            <w:vMerge w:val="restart"/>
            <w:shd w:val="clear" w:color="auto" w:fill="auto"/>
          </w:tcPr>
          <w:p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rozpočet projektu, </w:t>
            </w:r>
            <w:r>
              <w:rPr>
                <w:rFonts w:asciiTheme="minorHAnsi" w:hAnsiTheme="minorHAnsi"/>
                <w:snapToGrid w:val="0"/>
                <w:sz w:val="22"/>
                <w:szCs w:val="22"/>
              </w:rPr>
              <w:lastRenderedPageBreak/>
              <w:t>musí zvýšení znovu projít schvalovacím procesem</w:t>
            </w:r>
            <w:r w:rsidR="00007671">
              <w:rPr>
                <w:rFonts w:asciiTheme="minorHAnsi" w:hAnsiTheme="minorHAnsi"/>
                <w:snapToGrid w:val="0"/>
                <w:sz w:val="22"/>
                <w:szCs w:val="22"/>
              </w:rPr>
              <w:t>,</w:t>
            </w:r>
          </w:p>
          <w:p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7508DC">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tc>
      </w:tr>
      <w:tr w:rsidR="001429BF" w:rsidTr="009D2A95">
        <w:trPr>
          <w:trHeight w:val="1213"/>
        </w:trPr>
        <w:tc>
          <w:tcPr>
            <w:tcW w:w="1048" w:type="dxa"/>
            <w:vMerge/>
            <w:shd w:val="clear" w:color="auto" w:fill="auto"/>
          </w:tcPr>
          <w:p w:rsidR="001429BF" w:rsidRDefault="001429BF" w:rsidP="00903CFE">
            <w:pPr>
              <w:spacing w:after="120"/>
              <w:rPr>
                <w:rFonts w:asciiTheme="minorHAnsi" w:hAnsiTheme="minorHAnsi"/>
                <w:sz w:val="22"/>
                <w:szCs w:val="22"/>
              </w:rPr>
            </w:pPr>
          </w:p>
        </w:tc>
        <w:tc>
          <w:tcPr>
            <w:tcW w:w="8558" w:type="dxa"/>
            <w:shd w:val="clear" w:color="auto" w:fill="auto"/>
          </w:tcPr>
          <w:p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9D2A95">
        <w:trPr>
          <w:trHeight w:val="706"/>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903CFE">
        <w:trPr>
          <w:trHeight w:val="1062"/>
        </w:trPr>
        <w:tc>
          <w:tcPr>
            <w:tcW w:w="1048" w:type="dxa"/>
            <w:shd w:val="clear" w:color="auto" w:fill="auto"/>
          </w:tcPr>
          <w:p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rsidTr="00A67C3C">
        <w:trPr>
          <w:trHeight w:val="650"/>
        </w:trPr>
        <w:tc>
          <w:tcPr>
            <w:tcW w:w="1048" w:type="dxa"/>
            <w:shd w:val="clear" w:color="auto" w:fill="auto"/>
          </w:tcPr>
          <w:p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A67C3C">
        <w:trPr>
          <w:trHeight w:val="716"/>
        </w:trPr>
        <w:tc>
          <w:tcPr>
            <w:tcW w:w="1048" w:type="dxa"/>
            <w:shd w:val="clear" w:color="auto" w:fill="auto"/>
          </w:tcPr>
          <w:p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rsidTr="00690189">
        <w:trPr>
          <w:trHeight w:val="720"/>
        </w:trPr>
        <w:tc>
          <w:tcPr>
            <w:tcW w:w="1048" w:type="dxa"/>
          </w:tcPr>
          <w:p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903CFE">
        <w:trPr>
          <w:trHeight w:val="720"/>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903CFE">
        <w:trPr>
          <w:trHeight w:val="72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9D2A95">
        <w:trPr>
          <w:trHeight w:val="18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903CFE">
        <w:trPr>
          <w:trHeight w:val="736"/>
        </w:trPr>
        <w:tc>
          <w:tcPr>
            <w:tcW w:w="1048" w:type="dxa"/>
            <w:vMerge/>
            <w:shd w:val="clear" w:color="auto" w:fill="auto"/>
          </w:tcPr>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w:t>
            </w:r>
            <w:r w:rsidRPr="00811919">
              <w:rPr>
                <w:rFonts w:asciiTheme="minorHAnsi" w:hAnsiTheme="minorHAnsi"/>
                <w:snapToGrid w:val="0"/>
                <w:sz w:val="22"/>
                <w:szCs w:val="22"/>
              </w:rPr>
              <w:lastRenderedPageBreak/>
              <w:t xml:space="preserve">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903CFE">
        <w:trPr>
          <w:trHeight w:val="552"/>
        </w:trPr>
        <w:tc>
          <w:tcPr>
            <w:tcW w:w="1048" w:type="dxa"/>
            <w:vMerge w:val="restart"/>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tředků strukturálních fondů na  f</w:t>
            </w:r>
            <w:r w:rsidRPr="004A6337">
              <w:rPr>
                <w:rFonts w:asciiTheme="minorHAnsi" w:hAnsiTheme="minorHAnsi"/>
                <w:snapToGrid w:val="0"/>
                <w:sz w:val="22"/>
                <w:szCs w:val="22"/>
              </w:rPr>
              <w:t>inancování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903CFE">
        <w:trPr>
          <w:trHeight w:val="715"/>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rsidTr="00903CFE">
        <w:trPr>
          <w:trHeight w:val="7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rsidR="00E46589" w:rsidRPr="00717FDE" w:rsidRDefault="00E46589" w:rsidP="00E46589">
      <w:pPr>
        <w:widowControl w:val="0"/>
        <w:jc w:val="both"/>
        <w:rPr>
          <w:rFonts w:ascii="Arial" w:hAnsi="Arial"/>
        </w:rPr>
      </w:pPr>
    </w:p>
    <w:p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lastRenderedPageBreak/>
        <w:t xml:space="preserve">Jestliže bude po zahrnutí výdaje do souhrnné žádosti o platbu zjištěno porušení nebo nesplnění povinností vyplývajících ze Stanovení  a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E46589" w:rsidRPr="007D6147" w:rsidRDefault="00E46589" w:rsidP="00E46589">
      <w:pPr>
        <w:rPr>
          <w:rFonts w:asciiTheme="minorHAnsi" w:hAnsiTheme="minorHAnsi"/>
          <w:snapToGrid w:val="0"/>
        </w:rPr>
      </w:pPr>
    </w:p>
    <w:p w:rsidR="004D2008" w:rsidRPr="00FC5595" w:rsidRDefault="004D2008" w:rsidP="004D2008">
      <w:pPr>
        <w:widowControl w:val="0"/>
        <w:spacing w:after="120"/>
        <w:ind w:right="-2"/>
        <w:jc w:val="both"/>
        <w:rPr>
          <w:rFonts w:asciiTheme="minorHAnsi" w:hAnsiTheme="minorHAnsi"/>
          <w:snapToGrid w:val="0"/>
        </w:rPr>
      </w:pP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15" w:rsidRDefault="004F7515">
      <w:r>
        <w:separator/>
      </w:r>
    </w:p>
  </w:endnote>
  <w:endnote w:type="continuationSeparator" w:id="0">
    <w:p w:rsidR="004F7515" w:rsidRDefault="004F7515">
      <w:r>
        <w:continuationSeparator/>
      </w:r>
    </w:p>
  </w:endnote>
  <w:endnote w:type="continuationNotice" w:id="1">
    <w:p w:rsidR="004F7515" w:rsidRDefault="004F7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62276D">
      <w:rPr>
        <w:rFonts w:asciiTheme="minorHAnsi" w:hAnsiTheme="minorHAnsi"/>
        <w:noProof/>
        <w:snapToGrid w:val="0"/>
      </w:rPr>
      <w:t>5</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62276D">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62276D">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62276D">
            <w:rPr>
              <w:rFonts w:ascii="Arial" w:hAnsi="Arial" w:cs="Arial"/>
              <w:noProof/>
              <w:sz w:val="20"/>
            </w:rPr>
            <w:t>7</w:t>
          </w:r>
          <w:r w:rsidR="00A504B5"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15" w:rsidRDefault="004F7515">
      <w:r>
        <w:separator/>
      </w:r>
    </w:p>
  </w:footnote>
  <w:footnote w:type="continuationSeparator" w:id="0">
    <w:p w:rsidR="004F7515" w:rsidRDefault="004F7515">
      <w:r>
        <w:continuationSeparator/>
      </w:r>
    </w:p>
  </w:footnote>
  <w:footnote w:type="continuationNotice" w:id="1">
    <w:p w:rsidR="004F7515" w:rsidRDefault="004F7515"/>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1B4DD6">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2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2EA"/>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276D"/>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6CDC"/>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E731E"/>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10.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11.xml><?xml version="1.0" encoding="utf-8"?>
<ds:datastoreItem xmlns:ds="http://schemas.openxmlformats.org/officeDocument/2006/customXml" ds:itemID="{ABE45F61-A90F-4379-B11B-CAD9327CED35}">
  <ds:schemaRefs>
    <ds:schemaRef ds:uri="http://schemas.openxmlformats.org/officeDocument/2006/bibliography"/>
  </ds:schemaRefs>
</ds:datastoreItem>
</file>

<file path=customXml/itemProps12.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13.xml><?xml version="1.0" encoding="utf-8"?>
<ds:datastoreItem xmlns:ds="http://schemas.openxmlformats.org/officeDocument/2006/customXml" ds:itemID="{A4346858-866E-45A8-9F16-6932756634CF}">
  <ds:schemaRefs>
    <ds:schemaRef ds:uri="http://schemas.openxmlformats.org/officeDocument/2006/bibliography"/>
  </ds:schemaRefs>
</ds:datastoreItem>
</file>

<file path=customXml/itemProps14.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15.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customXml/itemProps16.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17.xml><?xml version="1.0" encoding="utf-8"?>
<ds:datastoreItem xmlns:ds="http://schemas.openxmlformats.org/officeDocument/2006/customXml" ds:itemID="{FC231455-03C1-4561-81C2-4E04AA23AA4C}">
  <ds:schemaRefs>
    <ds:schemaRef ds:uri="http://schemas.openxmlformats.org/officeDocument/2006/bibliography"/>
  </ds:schemaRefs>
</ds:datastoreItem>
</file>

<file path=customXml/itemProps18.xml><?xml version="1.0" encoding="utf-8"?>
<ds:datastoreItem xmlns:ds="http://schemas.openxmlformats.org/officeDocument/2006/customXml" ds:itemID="{C1030BE5-2C5F-4370-AF0E-F7A0EA9A0D70}">
  <ds:schemaRefs>
    <ds:schemaRef ds:uri="http://schemas.openxmlformats.org/officeDocument/2006/bibliography"/>
  </ds:schemaRefs>
</ds:datastoreItem>
</file>

<file path=customXml/itemProps19.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2.xml><?xml version="1.0" encoding="utf-8"?>
<ds:datastoreItem xmlns:ds="http://schemas.openxmlformats.org/officeDocument/2006/customXml" ds:itemID="{34CBA72B-65C7-4736-BAD8-8E020DF2909D}">
  <ds:schemaRefs>
    <ds:schemaRef ds:uri="http://schemas.openxmlformats.org/officeDocument/2006/bibliography"/>
  </ds:schemaRefs>
</ds:datastoreItem>
</file>

<file path=customXml/itemProps20.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21.xml><?xml version="1.0" encoding="utf-8"?>
<ds:datastoreItem xmlns:ds="http://schemas.openxmlformats.org/officeDocument/2006/customXml" ds:itemID="{E019A3A4-6007-4BD2-845C-B10F50999F33}">
  <ds:schemaRefs>
    <ds:schemaRef ds:uri="http://schemas.openxmlformats.org/officeDocument/2006/bibliography"/>
  </ds:schemaRefs>
</ds:datastoreItem>
</file>

<file path=customXml/itemProps22.xml><?xml version="1.0" encoding="utf-8"?>
<ds:datastoreItem xmlns:ds="http://schemas.openxmlformats.org/officeDocument/2006/customXml" ds:itemID="{CA3E350A-918A-4E79-9F6A-78BA02BAE68D}">
  <ds:schemaRefs>
    <ds:schemaRef ds:uri="http://schemas.openxmlformats.org/officeDocument/2006/bibliography"/>
  </ds:schemaRefs>
</ds:datastoreItem>
</file>

<file path=customXml/itemProps3.xml><?xml version="1.0" encoding="utf-8"?>
<ds:datastoreItem xmlns:ds="http://schemas.openxmlformats.org/officeDocument/2006/customXml" ds:itemID="{CABC5FBD-7FCC-4A3E-AF2E-21423D308824}">
  <ds:schemaRefs>
    <ds:schemaRef ds:uri="http://schemas.openxmlformats.org/officeDocument/2006/bibliography"/>
  </ds:schemaRefs>
</ds:datastoreItem>
</file>

<file path=customXml/itemProps4.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5.xml><?xml version="1.0" encoding="utf-8"?>
<ds:datastoreItem xmlns:ds="http://schemas.openxmlformats.org/officeDocument/2006/customXml" ds:itemID="{4769309D-F667-4C21-9946-A153FCC0287A}">
  <ds:schemaRefs>
    <ds:schemaRef ds:uri="http://schemas.openxmlformats.org/officeDocument/2006/bibliography"/>
  </ds:schemaRefs>
</ds:datastoreItem>
</file>

<file path=customXml/itemProps6.xml><?xml version="1.0" encoding="utf-8"?>
<ds:datastoreItem xmlns:ds="http://schemas.openxmlformats.org/officeDocument/2006/customXml" ds:itemID="{2DC6C4C1-C505-45D5-AF60-03977DDBE142}">
  <ds:schemaRefs>
    <ds:schemaRef ds:uri="http://schemas.openxmlformats.org/officeDocument/2006/bibliography"/>
  </ds:schemaRefs>
</ds:datastoreItem>
</file>

<file path=customXml/itemProps7.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8.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9.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1807</Words>
  <Characters>11045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5</cp:revision>
  <cp:lastPrinted>2014-05-14T09:54:00Z</cp:lastPrinted>
  <dcterms:created xsi:type="dcterms:W3CDTF">2018-09-03T14:26:00Z</dcterms:created>
  <dcterms:modified xsi:type="dcterms:W3CDTF">2019-01-22T13:07:00Z</dcterms:modified>
</cp:coreProperties>
</file>